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E6F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4"/>
          <w:szCs w:val="24"/>
          <w:lang w:val="en-US" w:eastAsia="zh-CN"/>
        </w:rPr>
      </w:pPr>
      <w:bookmarkStart w:id="0" w:name="_GoBack"/>
      <w:r>
        <w:rPr>
          <w:rFonts w:hint="default" w:ascii="Times New Roman" w:hAnsi="Times New Roman" w:eastAsia="宋体" w:cs="Times New Roman"/>
          <w:b/>
          <w:bCs/>
          <w:sz w:val="24"/>
          <w:szCs w:val="24"/>
          <w:lang w:val="en-US" w:eastAsia="zh-CN"/>
        </w:rPr>
        <w:t>第十一章  电路及其应用</w:t>
      </w:r>
    </w:p>
    <w:p w14:paraId="5E844F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专题5  电学实验基础</w:t>
      </w:r>
    </w:p>
    <w:bookmarkEnd w:id="0"/>
    <w:p w14:paraId="2CC11291">
      <w:pPr>
        <w:pStyle w:val="2"/>
        <w:tabs>
          <w:tab w:val="left" w:pos="3402"/>
        </w:tabs>
        <w:snapToGrid w:val="0"/>
        <w:spacing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1．电流表的内、外接法</w:t>
      </w:r>
    </w:p>
    <w:tbl>
      <w:tblPr>
        <w:tblStyle w:val="5"/>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3871"/>
        <w:gridCol w:w="2559"/>
      </w:tblGrid>
      <w:tr w14:paraId="79CB5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tcBorders>
              <w:tl2br w:val="single" w:color="auto" w:sz="4" w:space="0"/>
            </w:tcBorders>
            <w:shd w:val="clear" w:color="auto" w:fill="auto"/>
            <w:vAlign w:val="center"/>
          </w:tcPr>
          <w:p w14:paraId="2A348CB4">
            <w:pPr>
              <w:pStyle w:val="2"/>
              <w:tabs>
                <w:tab w:val="left" w:pos="3402"/>
              </w:tabs>
              <w:snapToGrid w:val="0"/>
              <w:spacing w:line="360" w:lineRule="auto"/>
              <w:jc w:val="center"/>
              <w:rPr>
                <w:rFonts w:hint="default" w:ascii="Times New Roman" w:hAnsi="Times New Roman" w:cs="Times New Roman" w:eastAsiaTheme="minorEastAsia"/>
                <w:i/>
                <w:sz w:val="21"/>
                <w:szCs w:val="21"/>
              </w:rPr>
            </w:pPr>
          </w:p>
        </w:tc>
        <w:tc>
          <w:tcPr>
            <w:tcW w:w="3871" w:type="dxa"/>
            <w:shd w:val="clear" w:color="auto" w:fill="auto"/>
            <w:vAlign w:val="center"/>
          </w:tcPr>
          <w:p w14:paraId="78E8B2B0">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内接法</w:t>
            </w:r>
          </w:p>
        </w:tc>
        <w:tc>
          <w:tcPr>
            <w:tcW w:w="2559" w:type="dxa"/>
            <w:shd w:val="clear" w:color="auto" w:fill="auto"/>
            <w:vAlign w:val="center"/>
          </w:tcPr>
          <w:p w14:paraId="37DAE55F">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外接法</w:t>
            </w:r>
          </w:p>
        </w:tc>
      </w:tr>
      <w:tr w14:paraId="78E2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729" w:type="dxa"/>
            <w:shd w:val="clear" w:color="auto" w:fill="auto"/>
            <w:vAlign w:val="center"/>
          </w:tcPr>
          <w:p w14:paraId="4CA8655F">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3871" w:type="dxa"/>
            <w:shd w:val="clear" w:color="auto" w:fill="auto"/>
            <w:vAlign w:val="center"/>
          </w:tcPr>
          <w:p w14:paraId="37322681">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920115" cy="713105"/>
                  <wp:effectExtent l="0" t="0" r="13335" b="10795"/>
                  <wp:docPr id="78" name="图片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91"/>
                          <pic:cNvPicPr>
                            <a:picLocks noChangeAspect="1"/>
                          </pic:cNvPicPr>
                        </pic:nvPicPr>
                        <pic:blipFill>
                          <a:blip r:embed="rId6"/>
                          <a:stretch>
                            <a:fillRect/>
                          </a:stretch>
                        </pic:blipFill>
                        <pic:spPr>
                          <a:xfrm>
                            <a:off x="0" y="0"/>
                            <a:ext cx="920115" cy="713105"/>
                          </a:xfrm>
                          <a:prstGeom prst="rect">
                            <a:avLst/>
                          </a:prstGeom>
                          <a:noFill/>
                          <a:ln>
                            <a:noFill/>
                          </a:ln>
                        </pic:spPr>
                      </pic:pic>
                    </a:graphicData>
                  </a:graphic>
                </wp:inline>
              </w:drawing>
            </w:r>
          </w:p>
        </w:tc>
        <w:tc>
          <w:tcPr>
            <w:tcW w:w="2559" w:type="dxa"/>
            <w:shd w:val="clear" w:color="auto" w:fill="auto"/>
            <w:vAlign w:val="center"/>
          </w:tcPr>
          <w:p w14:paraId="12DA1BD2">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988695" cy="615315"/>
                  <wp:effectExtent l="0" t="0" r="1905" b="13335"/>
                  <wp:docPr id="85" name="图片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92"/>
                          <pic:cNvPicPr>
                            <a:picLocks noChangeAspect="1"/>
                          </pic:cNvPicPr>
                        </pic:nvPicPr>
                        <pic:blipFill>
                          <a:blip r:embed="rId7"/>
                          <a:stretch>
                            <a:fillRect/>
                          </a:stretch>
                        </pic:blipFill>
                        <pic:spPr>
                          <a:xfrm>
                            <a:off x="0" y="0"/>
                            <a:ext cx="988695" cy="615315"/>
                          </a:xfrm>
                          <a:prstGeom prst="rect">
                            <a:avLst/>
                          </a:prstGeom>
                          <a:noFill/>
                          <a:ln>
                            <a:noFill/>
                          </a:ln>
                        </pic:spPr>
                      </pic:pic>
                    </a:graphicData>
                  </a:graphic>
                </wp:inline>
              </w:drawing>
            </w:r>
          </w:p>
        </w:tc>
      </w:tr>
      <w:tr w14:paraId="56A2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729" w:type="dxa"/>
            <w:shd w:val="clear" w:color="auto" w:fill="auto"/>
            <w:vAlign w:val="center"/>
          </w:tcPr>
          <w:p w14:paraId="5BB563B7">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误差原因</w:t>
            </w:r>
          </w:p>
        </w:tc>
        <w:tc>
          <w:tcPr>
            <w:tcW w:w="3871" w:type="dxa"/>
            <w:shd w:val="clear" w:color="auto" w:fill="auto"/>
            <w:vAlign w:val="center"/>
          </w:tcPr>
          <w:p w14:paraId="179D43C8">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电流表分压</w:t>
            </w:r>
          </w:p>
          <w:p w14:paraId="013C2B02">
            <w:pPr>
              <w:pStyle w:val="2"/>
              <w:tabs>
                <w:tab w:val="left" w:pos="3402"/>
              </w:tabs>
              <w:snapToGrid w:val="0"/>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U</w:t>
            </w:r>
            <w:r>
              <w:rPr>
                <w:rFonts w:hint="default" w:ascii="Times New Roman" w:hAnsi="Times New Roman" w:cs="Times New Roman" w:eastAsiaTheme="minorEastAsia"/>
                <w:i/>
                <w:color w:val="FF0000"/>
                <w:sz w:val="21"/>
                <w:szCs w:val="21"/>
                <w:u w:val="single"/>
                <w:vertAlign w:val="subscript"/>
              </w:rPr>
              <w:t>x</w:t>
            </w:r>
            <w:r>
              <w:rPr>
                <w:rFonts w:hint="default" w:ascii="Times New Roman" w:hAnsi="Times New Roman" w:cs="Times New Roman" w:eastAsiaTheme="minorEastAsia"/>
                <w:color w:val="FF0000"/>
                <w:sz w:val="21"/>
                <w:szCs w:val="21"/>
                <w:u w:val="single"/>
              </w:rPr>
              <w:t>＋</w:t>
            </w:r>
            <w:r>
              <w:rPr>
                <w:rFonts w:hint="default" w:ascii="Times New Roman" w:hAnsi="Times New Roman" w:cs="Times New Roman" w:eastAsiaTheme="minorEastAsia"/>
                <w:i/>
                <w:color w:val="FF0000"/>
                <w:sz w:val="21"/>
                <w:szCs w:val="21"/>
                <w:u w:val="single"/>
              </w:rPr>
              <w:t>U</w:t>
            </w:r>
            <w:r>
              <w:rPr>
                <w:rFonts w:hint="default" w:ascii="Times New Roman" w:hAnsi="Times New Roman" w:cs="Times New Roman" w:eastAsiaTheme="minorEastAsia"/>
                <w:color w:val="FF0000"/>
                <w:sz w:val="21"/>
                <w:szCs w:val="21"/>
                <w:u w:val="single"/>
                <w:vertAlign w:val="subscript"/>
              </w:rPr>
              <w:t>A</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c>
          <w:tcPr>
            <w:tcW w:w="2559" w:type="dxa"/>
            <w:shd w:val="clear" w:color="auto" w:fill="auto"/>
            <w:vAlign w:val="center"/>
          </w:tcPr>
          <w:p w14:paraId="44AAB9C0">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电压表分流</w:t>
            </w:r>
          </w:p>
          <w:p w14:paraId="75EF4EC2">
            <w:pPr>
              <w:pStyle w:val="2"/>
              <w:tabs>
                <w:tab w:val="left" w:pos="3402"/>
              </w:tabs>
              <w:snapToGrid w:val="0"/>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I</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I</w:t>
            </w:r>
            <w:r>
              <w:rPr>
                <w:rFonts w:hint="default" w:ascii="Times New Roman" w:hAnsi="Times New Roman" w:cs="Times New Roman" w:eastAsiaTheme="minorEastAsia"/>
                <w:i/>
                <w:color w:val="FF0000"/>
                <w:sz w:val="21"/>
                <w:szCs w:val="21"/>
                <w:u w:val="single"/>
                <w:vertAlign w:val="subscript"/>
              </w:rPr>
              <w:t>x</w:t>
            </w:r>
            <w:r>
              <w:rPr>
                <w:rFonts w:hint="default" w:ascii="Times New Roman" w:hAnsi="Times New Roman" w:cs="Times New Roman" w:eastAsiaTheme="minorEastAsia"/>
                <w:color w:val="FF0000"/>
                <w:sz w:val="21"/>
                <w:szCs w:val="21"/>
                <w:u w:val="single"/>
              </w:rPr>
              <w:t>＋</w:t>
            </w:r>
            <w:r>
              <w:rPr>
                <w:rFonts w:hint="default" w:ascii="Times New Roman" w:hAnsi="Times New Roman" w:cs="Times New Roman" w:eastAsiaTheme="minorEastAsia"/>
                <w:i/>
                <w:color w:val="FF0000"/>
                <w:sz w:val="21"/>
                <w:szCs w:val="21"/>
                <w:u w:val="single"/>
              </w:rPr>
              <w:t>I</w:t>
            </w:r>
            <w:r>
              <w:rPr>
                <w:rFonts w:hint="default" w:ascii="Times New Roman" w:hAnsi="Times New Roman" w:cs="Times New Roman" w:eastAsiaTheme="minorEastAsia"/>
                <w:color w:val="FF0000"/>
                <w:sz w:val="21"/>
                <w:szCs w:val="21"/>
                <w:u w:val="single"/>
                <w:vertAlign w:val="subscript"/>
              </w:rPr>
              <w:t>V</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r>
      <w:tr w14:paraId="4169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1729" w:type="dxa"/>
            <w:shd w:val="clear" w:color="auto" w:fill="auto"/>
            <w:vAlign w:val="center"/>
          </w:tcPr>
          <w:p w14:paraId="715B21EE">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电阻测量值</w:t>
            </w:r>
          </w:p>
        </w:tc>
        <w:tc>
          <w:tcPr>
            <w:tcW w:w="3871" w:type="dxa"/>
            <w:shd w:val="clear" w:color="auto" w:fill="auto"/>
            <w:vAlign w:val="center"/>
          </w:tcPr>
          <w:p w14:paraId="23BC2873">
            <w:pPr>
              <w:pStyle w:val="2"/>
              <w:tabs>
                <w:tab w:val="left" w:pos="3402"/>
              </w:tabs>
              <w:snapToGrid w:val="0"/>
              <w:spacing w:line="36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u w:val="single"/>
                <w:vertAlign w:val="subscript"/>
                <w:lang w:val="en-US" w:eastAsia="zh-CN"/>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r>
              <w:rPr>
                <w:rFonts w:hint="default" w:ascii="Times New Roman" w:hAnsi="Times New Roman" w:cs="Times New Roman" w:eastAsiaTheme="minorEastAsia"/>
                <w:color w:val="FF0000"/>
                <w:sz w:val="21"/>
                <w:szCs w:val="21"/>
                <w:u w:val="single"/>
              </w:rPr>
              <w:t>&gt;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75FA7404">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大于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c>
          <w:tcPr>
            <w:tcW w:w="2559" w:type="dxa"/>
            <w:shd w:val="clear" w:color="auto" w:fill="auto"/>
            <w:vAlign w:val="center"/>
          </w:tcPr>
          <w:p w14:paraId="2E95FA11">
            <w:pPr>
              <w:pStyle w:val="2"/>
              <w:tabs>
                <w:tab w:val="left" w:pos="3402"/>
              </w:tabs>
              <w:snapToGrid w:val="0"/>
              <w:spacing w:line="36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&lt;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2EBDB33A">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小于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r>
      <w:tr w14:paraId="794E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shd w:val="clear" w:color="auto" w:fill="auto"/>
            <w:vAlign w:val="center"/>
          </w:tcPr>
          <w:p w14:paraId="064D263E">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适用于测量</w:t>
            </w:r>
          </w:p>
        </w:tc>
        <w:tc>
          <w:tcPr>
            <w:tcW w:w="3871" w:type="dxa"/>
            <w:shd w:val="clear" w:color="auto" w:fill="auto"/>
            <w:vAlign w:val="center"/>
          </w:tcPr>
          <w:p w14:paraId="238C7795">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大阻值电阻</w:t>
            </w:r>
          </w:p>
        </w:tc>
        <w:tc>
          <w:tcPr>
            <w:tcW w:w="2559" w:type="dxa"/>
            <w:shd w:val="clear" w:color="auto" w:fill="auto"/>
            <w:vAlign w:val="center"/>
          </w:tcPr>
          <w:p w14:paraId="3CC6C49F">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小阻值电阻</w:t>
            </w:r>
          </w:p>
        </w:tc>
      </w:tr>
      <w:tr w14:paraId="1EFC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29" w:type="dxa"/>
            <w:shd w:val="clear" w:color="auto" w:fill="auto"/>
            <w:vAlign w:val="center"/>
          </w:tcPr>
          <w:p w14:paraId="30FD7768">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两种电路</w:t>
            </w:r>
          </w:p>
          <w:p w14:paraId="1887F6FD">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选择标准</w:t>
            </w:r>
          </w:p>
        </w:tc>
        <w:tc>
          <w:tcPr>
            <w:tcW w:w="6430" w:type="dxa"/>
            <w:gridSpan w:val="2"/>
            <w:shd w:val="clear" w:color="auto" w:fill="auto"/>
            <w:vAlign w:val="center"/>
          </w:tcPr>
          <w:p w14:paraId="51408C91">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lang w:val="en-US" w:eastAsia="zh-CN"/>
              </w:rPr>
              <w:t>远小于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&gt;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内接</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p w14:paraId="1D494F04">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V</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&lt;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外接</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tc>
      </w:tr>
    </w:tbl>
    <w:p w14:paraId="04B0DA66">
      <w:pPr>
        <w:pStyle w:val="2"/>
        <w:tabs>
          <w:tab w:val="left" w:pos="3402"/>
        </w:tabs>
        <w:snapToGrid w:val="0"/>
        <w:spacing w:line="360" w:lineRule="auto"/>
        <w:rPr>
          <w:rFonts w:hint="default" w:ascii="Times New Roman" w:hAnsi="Times New Roman" w:cs="Times New Roman" w:eastAsiaTheme="minorEastAsia"/>
          <w:sz w:val="21"/>
          <w:szCs w:val="21"/>
        </w:rPr>
      </w:pPr>
    </w:p>
    <w:p w14:paraId="44499F51">
      <w:pPr>
        <w:pStyle w:val="2"/>
        <w:tabs>
          <w:tab w:val="left" w:pos="3402"/>
        </w:tabs>
        <w:snapToGrid w:val="0"/>
        <w:spacing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2.滑动变阻器两种连接方式的对比</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1999"/>
        <w:gridCol w:w="2064"/>
        <w:gridCol w:w="1916"/>
      </w:tblGrid>
      <w:tr w14:paraId="1B650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240" w:type="dxa"/>
            <w:tcBorders>
              <w:tl2br w:val="single" w:color="auto" w:sz="4" w:space="0"/>
            </w:tcBorders>
            <w:shd w:val="clear" w:color="auto" w:fill="auto"/>
            <w:vAlign w:val="center"/>
          </w:tcPr>
          <w:p w14:paraId="3D1C550C">
            <w:pPr>
              <w:pStyle w:val="2"/>
              <w:tabs>
                <w:tab w:val="left" w:pos="3402"/>
              </w:tabs>
              <w:snapToGrid w:val="0"/>
              <w:spacing w:line="360" w:lineRule="auto"/>
              <w:jc w:val="center"/>
              <w:rPr>
                <w:rFonts w:hint="default" w:ascii="Times New Roman" w:hAnsi="Times New Roman" w:cs="Times New Roman" w:eastAsiaTheme="minorEastAsia"/>
                <w:i/>
                <w:sz w:val="21"/>
                <w:szCs w:val="21"/>
              </w:rPr>
            </w:pPr>
          </w:p>
        </w:tc>
        <w:tc>
          <w:tcPr>
            <w:tcW w:w="1999" w:type="dxa"/>
            <w:shd w:val="clear" w:color="auto" w:fill="auto"/>
            <w:vAlign w:val="center"/>
          </w:tcPr>
          <w:p w14:paraId="5D7526E6">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限流接法</w:t>
            </w:r>
          </w:p>
        </w:tc>
        <w:tc>
          <w:tcPr>
            <w:tcW w:w="2064" w:type="dxa"/>
            <w:shd w:val="clear" w:color="auto" w:fill="auto"/>
            <w:vAlign w:val="center"/>
          </w:tcPr>
          <w:p w14:paraId="20707109">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分压接法</w:t>
            </w:r>
          </w:p>
        </w:tc>
        <w:tc>
          <w:tcPr>
            <w:tcW w:w="1916" w:type="dxa"/>
            <w:shd w:val="clear" w:color="auto" w:fill="auto"/>
            <w:vAlign w:val="center"/>
          </w:tcPr>
          <w:p w14:paraId="3680088E">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对比说明</w:t>
            </w:r>
          </w:p>
        </w:tc>
      </w:tr>
      <w:tr w14:paraId="1FBC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2240" w:type="dxa"/>
            <w:shd w:val="clear" w:color="auto" w:fill="auto"/>
            <w:vAlign w:val="center"/>
          </w:tcPr>
          <w:p w14:paraId="3AF38AAF">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1999" w:type="dxa"/>
            <w:shd w:val="clear" w:color="auto" w:fill="auto"/>
            <w:vAlign w:val="center"/>
          </w:tcPr>
          <w:p w14:paraId="5F4C981C">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28650"/>
                  <wp:effectExtent l="0" t="0" r="9525" b="0"/>
                  <wp:docPr id="86"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93"/>
                          <pic:cNvPicPr>
                            <a:picLocks noChangeAspect="1"/>
                          </pic:cNvPicPr>
                        </pic:nvPicPr>
                        <pic:blipFill>
                          <a:blip r:embed="rId8"/>
                          <a:stretch>
                            <a:fillRect/>
                          </a:stretch>
                        </pic:blipFill>
                        <pic:spPr>
                          <a:xfrm>
                            <a:off x="0" y="0"/>
                            <a:ext cx="885825" cy="628650"/>
                          </a:xfrm>
                          <a:prstGeom prst="rect">
                            <a:avLst/>
                          </a:prstGeom>
                          <a:noFill/>
                          <a:ln>
                            <a:noFill/>
                          </a:ln>
                        </pic:spPr>
                      </pic:pic>
                    </a:graphicData>
                  </a:graphic>
                </wp:inline>
              </w:drawing>
            </w:r>
          </w:p>
        </w:tc>
        <w:tc>
          <w:tcPr>
            <w:tcW w:w="2064" w:type="dxa"/>
            <w:shd w:val="clear" w:color="auto" w:fill="auto"/>
            <w:vAlign w:val="center"/>
          </w:tcPr>
          <w:p w14:paraId="5BEF4038">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85800"/>
                  <wp:effectExtent l="0" t="0" r="9525" b="0"/>
                  <wp:docPr id="11" name="图片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94"/>
                          <pic:cNvPicPr>
                            <a:picLocks noChangeAspect="1"/>
                          </pic:cNvPicPr>
                        </pic:nvPicPr>
                        <pic:blipFill>
                          <a:blip r:embed="rId9"/>
                          <a:stretch>
                            <a:fillRect/>
                          </a:stretch>
                        </pic:blipFill>
                        <pic:spPr>
                          <a:xfrm>
                            <a:off x="0" y="0"/>
                            <a:ext cx="885825" cy="685800"/>
                          </a:xfrm>
                          <a:prstGeom prst="rect">
                            <a:avLst/>
                          </a:prstGeom>
                          <a:noFill/>
                          <a:ln>
                            <a:noFill/>
                          </a:ln>
                        </pic:spPr>
                      </pic:pic>
                    </a:graphicData>
                  </a:graphic>
                </wp:inline>
              </w:drawing>
            </w:r>
          </w:p>
        </w:tc>
        <w:tc>
          <w:tcPr>
            <w:tcW w:w="1916" w:type="dxa"/>
            <w:shd w:val="clear" w:color="auto" w:fill="auto"/>
            <w:vAlign w:val="center"/>
          </w:tcPr>
          <w:p w14:paraId="09043D75">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串、并联关</w:t>
            </w:r>
          </w:p>
          <w:p w14:paraId="5D0DC32D">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系不同</w:t>
            </w:r>
          </w:p>
        </w:tc>
      </w:tr>
      <w:tr w14:paraId="56011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2240" w:type="dxa"/>
            <w:shd w:val="clear" w:color="auto" w:fill="auto"/>
            <w:vAlign w:val="center"/>
          </w:tcPr>
          <w:p w14:paraId="67387565">
            <w:pPr>
              <w:pStyle w:val="2"/>
              <w:tabs>
                <w:tab w:val="left" w:pos="3402"/>
              </w:tabs>
              <w:snapToGrid w:val="0"/>
              <w:spacing w:line="360" w:lineRule="auto"/>
              <w:jc w:val="left"/>
              <w:rPr>
                <w:rFonts w:hint="default" w:ascii="Times New Roman" w:hAnsi="Times New Roman" w:cs="Times New Roman" w:eastAsiaTheme="minorEastAsia"/>
                <w:i/>
                <w:sz w:val="21"/>
                <w:szCs w:val="21"/>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rPr>
              <w:t>上电压调节范围(不计电源内阻)</w:t>
            </w:r>
          </w:p>
        </w:tc>
        <w:tc>
          <w:tcPr>
            <w:tcW w:w="1999" w:type="dxa"/>
            <w:shd w:val="clear" w:color="auto" w:fill="auto"/>
            <w:vAlign w:val="center"/>
          </w:tcPr>
          <w:p w14:paraId="178BBDFA">
            <w:pPr>
              <w:pStyle w:val="2"/>
              <w:tabs>
                <w:tab w:val="left" w:pos="3402"/>
              </w:tabs>
              <w:snapToGrid w:val="0"/>
              <w:spacing w:line="36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none"/>
              </w:rPr>
              <w:fldChar w:fldCharType="begin"/>
            </w:r>
            <w:r>
              <w:rPr>
                <w:rFonts w:hint="default" w:ascii="Times New Roman" w:hAnsi="Times New Roman" w:cs="Times New Roman" w:eastAsiaTheme="minorEastAsia"/>
                <w:color w:val="FF0000"/>
                <w:sz w:val="21"/>
                <w:szCs w:val="21"/>
                <w:u w:val="none"/>
              </w:rPr>
              <w:instrText xml:space="preserve">eq \f(</w:instrText>
            </w:r>
            <w:r>
              <w:rPr>
                <w:rFonts w:hint="default" w:ascii="Times New Roman" w:hAnsi="Times New Roman" w:cs="Times New Roman" w:eastAsiaTheme="minorEastAsia"/>
                <w:i/>
                <w:color w:val="FF0000"/>
                <w:sz w:val="21"/>
                <w:szCs w:val="21"/>
                <w:u w:val="none"/>
              </w:rPr>
              <w:instrText xml:space="preserve">RE,R</w:instrText>
            </w:r>
            <w:r>
              <w:rPr>
                <w:rFonts w:hint="default" w:ascii="Times New Roman" w:hAnsi="Times New Roman" w:cs="Times New Roman" w:eastAsiaTheme="minorEastAsia"/>
                <w:color w:val="FF0000"/>
                <w:sz w:val="21"/>
                <w:szCs w:val="21"/>
                <w:u w:val="none"/>
              </w:rPr>
              <w:instrText xml:space="preserve">＋</w:instrText>
            </w:r>
            <w:r>
              <w:rPr>
                <w:rFonts w:hint="default" w:ascii="Times New Roman" w:hAnsi="Times New Roman" w:cs="Times New Roman" w:eastAsiaTheme="minorEastAsia"/>
                <w:i/>
                <w:color w:val="FF0000"/>
                <w:sz w:val="21"/>
                <w:szCs w:val="21"/>
                <w:u w:val="none"/>
              </w:rPr>
              <w:instrText xml:space="preserve">R</w:instrText>
            </w:r>
            <w:r>
              <w:rPr>
                <w:rFonts w:hint="default" w:ascii="Times New Roman" w:hAnsi="Times New Roman" w:cs="Times New Roman" w:eastAsiaTheme="minorEastAsia"/>
                <w:color w:val="FF0000"/>
                <w:sz w:val="21"/>
                <w:szCs w:val="21"/>
                <w:u w:val="none"/>
                <w:vertAlign w:val="subscript"/>
              </w:rPr>
              <w:instrText xml:space="preserve">0</w:instrText>
            </w:r>
            <w:r>
              <w:rPr>
                <w:rFonts w:hint="default" w:ascii="Times New Roman" w:hAnsi="Times New Roman" w:cs="Times New Roman" w:eastAsiaTheme="minorEastAsia"/>
                <w:color w:val="FF0000"/>
                <w:sz w:val="21"/>
                <w:szCs w:val="21"/>
                <w:u w:val="none"/>
              </w:rPr>
              <w:instrText xml:space="preserve">)</w:instrText>
            </w:r>
            <w:r>
              <w:rPr>
                <w:rFonts w:hint="default" w:ascii="Times New Roman" w:hAnsi="Times New Roman" w:cs="Times New Roman" w:eastAsiaTheme="minorEastAsia"/>
                <w:color w:val="FF0000"/>
                <w:sz w:val="21"/>
                <w:szCs w:val="21"/>
                <w:u w:val="none"/>
              </w:rPr>
              <w:fldChar w:fldCharType="end"/>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E</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sz w:val="21"/>
                <w:szCs w:val="21"/>
                <w:lang w:val="en-US" w:eastAsia="zh-CN"/>
              </w:rPr>
              <w:t xml:space="preserve"> </w:t>
            </w:r>
          </w:p>
        </w:tc>
        <w:tc>
          <w:tcPr>
            <w:tcW w:w="2064" w:type="dxa"/>
            <w:shd w:val="clear" w:color="auto" w:fill="auto"/>
            <w:vAlign w:val="center"/>
          </w:tcPr>
          <w:p w14:paraId="43E90075">
            <w:pPr>
              <w:pStyle w:val="2"/>
              <w:tabs>
                <w:tab w:val="left" w:pos="3402"/>
              </w:tabs>
              <w:snapToGrid w:val="0"/>
              <w:spacing w:line="36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0</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E</w:t>
            </w:r>
            <w:r>
              <w:rPr>
                <w:rFonts w:hint="eastAsia" w:ascii="Times New Roman" w:hAnsi="Times New Roman" w:cs="Times New Roman"/>
                <w:i/>
                <w:sz w:val="21"/>
                <w:szCs w:val="21"/>
                <w:u w:val="single"/>
                <w:lang w:val="en-US" w:eastAsia="zh-CN"/>
              </w:rPr>
              <w:t xml:space="preserve">  </w:t>
            </w:r>
          </w:p>
        </w:tc>
        <w:tc>
          <w:tcPr>
            <w:tcW w:w="1916" w:type="dxa"/>
            <w:shd w:val="clear" w:color="auto" w:fill="auto"/>
            <w:vAlign w:val="center"/>
          </w:tcPr>
          <w:p w14:paraId="331C6516">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分压电路调节范围大</w:t>
            </w:r>
          </w:p>
        </w:tc>
      </w:tr>
      <w:tr w14:paraId="6186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40" w:type="dxa"/>
            <w:shd w:val="clear" w:color="auto" w:fill="auto"/>
            <w:vAlign w:val="center"/>
          </w:tcPr>
          <w:p w14:paraId="4FF42A3A">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闭合S前触头位置</w:t>
            </w:r>
          </w:p>
        </w:tc>
        <w:tc>
          <w:tcPr>
            <w:tcW w:w="1999" w:type="dxa"/>
            <w:shd w:val="clear" w:color="auto" w:fill="auto"/>
            <w:vAlign w:val="center"/>
          </w:tcPr>
          <w:p w14:paraId="4E6C9656">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eastAsia" w:ascii="Times New Roman" w:hAnsi="Times New Roman" w:cs="Times New Roman"/>
                <w:b w:val="0"/>
                <w:bCs w:val="0"/>
                <w:i/>
                <w:sz w:val="21"/>
                <w:szCs w:val="21"/>
                <w:u w:val="single"/>
                <w:lang w:val="en-US" w:eastAsia="zh-CN"/>
              </w:rPr>
              <w:t xml:space="preserve">  </w:t>
            </w:r>
            <w:r>
              <w:rPr>
                <w:rFonts w:hint="eastAsia" w:ascii="Times New Roman" w:hAnsi="Times New Roman" w:cs="Times New Roman"/>
                <w:b w:val="0"/>
                <w:bCs w:val="0"/>
                <w:i/>
                <w:color w:val="FF0000"/>
                <w:sz w:val="21"/>
                <w:szCs w:val="21"/>
                <w:u w:val="single"/>
                <w:lang w:val="en-US" w:eastAsia="zh-CN"/>
              </w:rPr>
              <w:t>b</w:t>
            </w: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2064" w:type="dxa"/>
            <w:shd w:val="clear" w:color="auto" w:fill="auto"/>
            <w:vAlign w:val="center"/>
          </w:tcPr>
          <w:p w14:paraId="24DB20CD">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eastAsia" w:ascii="Times New Roman" w:hAnsi="Times New Roman" w:cs="Times New Roman"/>
                <w:i/>
                <w:sz w:val="21"/>
                <w:szCs w:val="21"/>
                <w:u w:val="single"/>
                <w:lang w:val="en-US" w:eastAsia="zh-CN"/>
              </w:rPr>
              <w:t xml:space="preserve">  </w:t>
            </w:r>
            <w:r>
              <w:rPr>
                <w:rFonts w:hint="eastAsia" w:ascii="Times New Roman" w:hAnsi="Times New Roman" w:cs="Times New Roman"/>
                <w:i/>
                <w:color w:val="FF0000"/>
                <w:sz w:val="21"/>
                <w:szCs w:val="21"/>
                <w:u w:val="single"/>
                <w:lang w:val="en-US" w:eastAsia="zh-CN"/>
              </w:rPr>
              <w:t>a</w:t>
            </w: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1916" w:type="dxa"/>
            <w:shd w:val="clear" w:color="auto" w:fill="auto"/>
            <w:vAlign w:val="center"/>
          </w:tcPr>
          <w:p w14:paraId="35204A52">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都是为了保护电路元件</w:t>
            </w:r>
          </w:p>
        </w:tc>
      </w:tr>
    </w:tbl>
    <w:p w14:paraId="2677A76B">
      <w:pPr>
        <w:pStyle w:val="2"/>
        <w:tabs>
          <w:tab w:val="left" w:pos="3402"/>
        </w:tabs>
        <w:snapToGrid w:val="0"/>
        <w:spacing w:line="360" w:lineRule="auto"/>
        <w:rPr>
          <w:rFonts w:hint="default" w:ascii="Times New Roman" w:hAnsi="Times New Roman" w:cs="Times New Roman" w:eastAsiaTheme="minorEastAsia"/>
          <w:sz w:val="21"/>
          <w:szCs w:val="21"/>
        </w:rPr>
      </w:pPr>
    </w:p>
    <w:p w14:paraId="68ABCBA4">
      <w:pPr>
        <w:pStyle w:val="2"/>
        <w:tabs>
          <w:tab w:val="left" w:pos="3402"/>
        </w:tabs>
        <w:snapToGrid w:val="0"/>
        <w:spacing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3.滑动变阻器两种接法的选择</w:t>
      </w:r>
    </w:p>
    <w:p w14:paraId="61A5426E">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滑动变阻器的最大阻值和用电器的阻值差不多且不要求电压从零开始变化，通常情况下，由于限流式结构简单、耗能少，优先使用限流式</w:t>
      </w:r>
      <w:r>
        <w:rPr>
          <w:rFonts w:hint="eastAsia" w:ascii="Times New Roman" w:hAnsi="Times New Roman" w:cs="Times New Roman"/>
          <w:sz w:val="21"/>
          <w:szCs w:val="21"/>
          <w:lang w:eastAsia="zh-CN"/>
        </w:rPr>
        <w:t>。</w:t>
      </w:r>
    </w:p>
    <w:p w14:paraId="6BE55A7D">
      <w:pPr>
        <w:pStyle w:val="2"/>
        <w:tabs>
          <w:tab w:val="left" w:pos="3402"/>
        </w:tabs>
        <w:snapToGrid w:val="0"/>
        <w:spacing w:line="360" w:lineRule="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滑动变阻器必须接成分压电路的几种情况：</w:t>
      </w:r>
    </w:p>
    <w:p w14:paraId="6A4A775F">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①要求电压表能从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零</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开始读数，要求电压(电流)测量范围尽可能大</w:t>
      </w:r>
      <w:r>
        <w:rPr>
          <w:rFonts w:hint="eastAsia" w:ascii="Times New Roman" w:hAnsi="Times New Roman" w:cs="Times New Roman"/>
          <w:sz w:val="21"/>
          <w:szCs w:val="21"/>
          <w:lang w:eastAsia="zh-CN"/>
        </w:rPr>
        <w:t>；</w:t>
      </w:r>
    </w:p>
    <w:p w14:paraId="43109646">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②当待测电阻</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rPr>
        <w:t>(滑动变阻器的最大阻值)时(限流式接法滑动变阻器几乎不起作用)</w:t>
      </w:r>
      <w:r>
        <w:rPr>
          <w:rFonts w:hint="eastAsia" w:ascii="Times New Roman" w:hAnsi="Times New Roman" w:cs="Times New Roman"/>
          <w:sz w:val="21"/>
          <w:szCs w:val="21"/>
          <w:lang w:eastAsia="zh-CN"/>
        </w:rPr>
        <w:t>；</w:t>
      </w:r>
    </w:p>
    <w:p w14:paraId="6A8E2593">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③若采用限流式接法，电路中的最小电流仍超过电路中电表、电阻允许的最大电流</w:t>
      </w:r>
      <w:r>
        <w:rPr>
          <w:rFonts w:hint="eastAsia" w:ascii="Times New Roman" w:hAnsi="Times New Roman" w:cs="Times New Roman"/>
          <w:sz w:val="21"/>
          <w:szCs w:val="21"/>
          <w:lang w:eastAsia="zh-CN"/>
        </w:rPr>
        <w:t>。</w:t>
      </w:r>
    </w:p>
    <w:p w14:paraId="0F6A6A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xml:space="preserve">滑动变阻器的选择 </w:t>
      </w:r>
    </w:p>
    <w:p w14:paraId="187B8B3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r>
        <w:rPr>
          <w:rFonts w:hint="default" w:ascii="Times New Roman" w:hAnsi="Times New Roman" w:cs="Times New Roman"/>
          <w:sz w:val="21"/>
          <w:szCs w:val="21"/>
        </w:rPr>
        <w:t>（1）若滑动变阻器采用限流式接法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则应选择最大阻值比被测电阻大且与被测电阻阻值相差不大的滑动变阻器</w:t>
      </w:r>
      <w:r>
        <w:rPr>
          <w:rFonts w:hint="eastAsia" w:ascii="Times New Roman" w:hAnsi="Times New Roman" w:cs="Times New Roman"/>
          <w:sz w:val="21"/>
          <w:szCs w:val="21"/>
          <w:lang w:eastAsia="zh-CN"/>
        </w:rPr>
        <w:t>。</w:t>
      </w:r>
    </w:p>
    <w:p w14:paraId="24F5D1C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sz w:val="21"/>
          <w:szCs w:val="21"/>
        </w:rPr>
        <w:t>若滑动变阻器采用分压式接法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则应选择最大阻值较小的滑动变阻器</w:t>
      </w:r>
      <w:r>
        <w:rPr>
          <w:rFonts w:hint="eastAsia" w:ascii="Times New Roman" w:hAnsi="Times New Roman" w:cs="Times New Roman"/>
          <w:sz w:val="21"/>
          <w:szCs w:val="21"/>
          <w:lang w:eastAsia="zh-CN"/>
        </w:rPr>
        <w:t>。</w:t>
      </w:r>
    </w:p>
    <w:p w14:paraId="5389BC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p>
    <w:p w14:paraId="539DA5F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示例</w:t>
      </w:r>
    </w:p>
    <w:p w14:paraId="7538AC2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1.图（a）为</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限流式</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填“分压式”或“限流式”</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接法，图（b）为</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分压式</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填“分压式”或“限流式”</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图（a）闭合开关前，滑片应该滑到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i/>
          <w:iCs/>
          <w:color w:val="FF0000"/>
          <w:sz w:val="21"/>
          <w:szCs w:val="21"/>
          <w:u w:val="single"/>
          <w:lang w:val="en-US" w:eastAsia="zh-CN"/>
        </w:rPr>
        <w:t>b</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default" w:ascii="Times New Roman" w:hAnsi="Times New Roman" w:cs="Times New Roman" w:eastAsiaTheme="minorEastAsia"/>
          <w:i/>
          <w:iCs/>
          <w:sz w:val="21"/>
          <w:szCs w:val="21"/>
          <w:lang w:val="en-US" w:eastAsia="zh-CN"/>
        </w:rPr>
        <w:t>a</w:t>
      </w:r>
      <w:r>
        <w:rPr>
          <w:rFonts w:hint="default" w:ascii="Times New Roman" w:hAnsi="Times New Roman" w:cs="Times New Roman" w:eastAsiaTheme="minorEastAsia"/>
          <w:sz w:val="21"/>
          <w:szCs w:val="21"/>
          <w:lang w:val="en-US" w:eastAsia="zh-CN"/>
        </w:rPr>
        <w:t>”或“</w:t>
      </w:r>
      <w:r>
        <w:rPr>
          <w:rFonts w:hint="default" w:ascii="Times New Roman" w:hAnsi="Times New Roman" w:cs="Times New Roman" w:eastAsiaTheme="minorEastAsia"/>
          <w:i/>
          <w:iCs/>
          <w:sz w:val="21"/>
          <w:szCs w:val="21"/>
          <w:lang w:val="en-US" w:eastAsia="zh-CN"/>
        </w:rPr>
        <w:t>b</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端，图（</w:t>
      </w:r>
      <w:r>
        <w:rPr>
          <w:rFonts w:hint="eastAsia" w:ascii="Times New Roman" w:hAnsi="Times New Roman" w:cs="Times New Roman"/>
          <w:sz w:val="21"/>
          <w:szCs w:val="21"/>
          <w:lang w:val="en-US" w:eastAsia="zh-CN"/>
        </w:rPr>
        <w:t>b</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闭合开关前，滑片应该滑到</w:t>
      </w:r>
      <w:r>
        <w:rPr>
          <w:rFonts w:hint="default" w:ascii="Times New Roman" w:hAnsi="Times New Roman" w:cs="Times New Roman" w:eastAsiaTheme="minorEastAsia"/>
          <w:sz w:val="21"/>
          <w:szCs w:val="21"/>
          <w:u w:val="single"/>
        </w:rPr>
        <w:t xml:space="preserve">  </w:t>
      </w:r>
      <w:r>
        <w:rPr>
          <w:rFonts w:hint="default" w:ascii="Times New Roman" w:hAnsi="Times New Roman" w:cs="Times New Roman" w:eastAsiaTheme="minorEastAsia"/>
          <w:i/>
          <w:iCs/>
          <w:color w:val="FF0000"/>
          <w:sz w:val="21"/>
          <w:szCs w:val="21"/>
          <w:u w:val="single"/>
          <w:lang w:val="en-US" w:eastAsia="zh-CN"/>
        </w:rPr>
        <w:t>a</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default" w:ascii="Times New Roman" w:hAnsi="Times New Roman" w:cs="Times New Roman" w:eastAsiaTheme="minorEastAsia"/>
          <w:i/>
          <w:iCs/>
          <w:sz w:val="21"/>
          <w:szCs w:val="21"/>
          <w:lang w:val="en-US" w:eastAsia="zh-CN"/>
        </w:rPr>
        <w:t>a</w:t>
      </w:r>
      <w:r>
        <w:rPr>
          <w:rFonts w:hint="default" w:ascii="Times New Roman" w:hAnsi="Times New Roman" w:cs="Times New Roman" w:eastAsiaTheme="minorEastAsia"/>
          <w:sz w:val="21"/>
          <w:szCs w:val="21"/>
          <w:lang w:val="en-US" w:eastAsia="zh-CN"/>
        </w:rPr>
        <w:t>”或“</w:t>
      </w:r>
      <w:r>
        <w:rPr>
          <w:rFonts w:hint="default" w:ascii="Times New Roman" w:hAnsi="Times New Roman" w:cs="Times New Roman" w:eastAsiaTheme="minorEastAsia"/>
          <w:i/>
          <w:iCs/>
          <w:sz w:val="21"/>
          <w:szCs w:val="21"/>
          <w:lang w:val="en-US" w:eastAsia="zh-CN"/>
        </w:rPr>
        <w:t>b</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w:t>
      </w:r>
    </w:p>
    <w:p w14:paraId="61DC107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rPr>
      </w:pPr>
    </w:p>
    <w:p w14:paraId="0DCEDF6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2.当 E =3V，r =0</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Ω，R</w:t>
      </w:r>
      <w:r>
        <w:rPr>
          <w:rFonts w:hint="default" w:ascii="Times New Roman" w:hAnsi="Times New Roman" w:cs="Times New Roman" w:eastAsiaTheme="minorEastAsia"/>
          <w:sz w:val="21"/>
          <w:szCs w:val="21"/>
          <w:vertAlign w:val="subscript"/>
        </w:rPr>
        <w:t>0</w:t>
      </w:r>
      <w:r>
        <w:rPr>
          <w:rFonts w:hint="default" w:ascii="Times New Roman" w:hAnsi="Times New Roman" w:cs="Times New Roman" w:eastAsiaTheme="minorEastAsia"/>
          <w:sz w:val="21"/>
          <w:szCs w:val="21"/>
        </w:rPr>
        <w:t xml:space="preserve"> =100Ω，R</w:t>
      </w:r>
      <w:r>
        <w:rPr>
          <w:rFonts w:hint="default" w:ascii="Times New Roman" w:hAnsi="Times New Roman" w:cs="Times New Roman" w:eastAsiaTheme="minorEastAsia"/>
          <w:sz w:val="21"/>
          <w:szCs w:val="21"/>
          <w:vertAlign w:val="subscript"/>
        </w:rPr>
        <w:t>L</w:t>
      </w:r>
      <w:r>
        <w:rPr>
          <w:rFonts w:hint="default" w:ascii="Times New Roman" w:hAnsi="Times New Roman" w:cs="Times New Roman" w:eastAsiaTheme="minorEastAsia"/>
          <w:sz w:val="21"/>
          <w:szCs w:val="21"/>
        </w:rPr>
        <w:t xml:space="preserve"> =50Ω时，图（a</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rPr>
        <w:t>电压调节范围是</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1</w:t>
      </w:r>
      <w:r>
        <w:rPr>
          <w:rFonts w:hint="default" w:ascii="Times New Roman" w:hAnsi="Times New Roman" w:cs="Times New Roman" w:eastAsiaTheme="minorEastAsia"/>
          <w:color w:val="FF0000"/>
          <w:sz w:val="21"/>
          <w:szCs w:val="21"/>
          <w:u w:val="single"/>
          <w:lang w:val="en-US" w:eastAsia="zh-CN"/>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3</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V，图（b）电压调节范围是</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0</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3</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w:t>
      </w:r>
    </w:p>
    <w:p w14:paraId="6B806122">
      <w:pPr>
        <w:rPr>
          <w:rFonts w:hint="default"/>
          <w:lang w:val="en-US" w:eastAsia="zh-CN"/>
        </w:rPr>
      </w:pPr>
      <w:r>
        <w:rPr>
          <w:rFonts w:hint="default" w:ascii="Times New Roman" w:hAnsi="Times New Roman" w:cs="Times New Roman" w:eastAsiaTheme="minorEastAsia"/>
          <w:sz w:val="1"/>
        </w:rPr>
        <w:drawing>
          <wp:inline distT="0" distB="0" distL="114300" distR="114300">
            <wp:extent cx="2983865" cy="1316355"/>
            <wp:effectExtent l="0" t="0" r="6985" b="17145"/>
            <wp:docPr id="8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
                    <pic:cNvPicPr>
                      <a:picLocks noChangeAspect="1"/>
                    </pic:cNvPicPr>
                  </pic:nvPicPr>
                  <pic:blipFill>
                    <a:blip r:embed="rId10"/>
                    <a:stretch>
                      <a:fillRect/>
                    </a:stretch>
                  </pic:blipFill>
                  <pic:spPr>
                    <a:xfrm>
                      <a:off x="0" y="0"/>
                      <a:ext cx="2983865" cy="1316355"/>
                    </a:xfrm>
                    <a:prstGeom prst="rect">
                      <a:avLst/>
                    </a:prstGeom>
                    <a:noFill/>
                    <a:ln>
                      <a:noFill/>
                    </a:ln>
                  </pic:spPr>
                </pic:pic>
              </a:graphicData>
            </a:graphic>
          </wp:inline>
        </w:drawing>
      </w:r>
    </w:p>
    <w:p w14:paraId="53AD8A8D"/>
    <w:p w14:paraId="62891DEB"/>
    <w:p w14:paraId="25B5A176"/>
    <w:p w14:paraId="6BB18D67"/>
    <w:p w14:paraId="1C170D6B"/>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Times">
    <w:altName w:val="Times New Roman"/>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TimesNewRomanPS-Italic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9D0EA3"/>
    <w:rsid w:val="042711AF"/>
    <w:rsid w:val="046046C1"/>
    <w:rsid w:val="0B633415"/>
    <w:rsid w:val="0FC02FE7"/>
    <w:rsid w:val="149503B7"/>
    <w:rsid w:val="1CDC3027"/>
    <w:rsid w:val="2D9B2143"/>
    <w:rsid w:val="2DF61A6F"/>
    <w:rsid w:val="31833619"/>
    <w:rsid w:val="33A309C5"/>
    <w:rsid w:val="3A062572"/>
    <w:rsid w:val="42B74272"/>
    <w:rsid w:val="44117EA6"/>
    <w:rsid w:val="459E23E7"/>
    <w:rsid w:val="4FCE5F50"/>
    <w:rsid w:val="55855303"/>
    <w:rsid w:val="586D5544"/>
    <w:rsid w:val="5B56564E"/>
    <w:rsid w:val="5DB03139"/>
    <w:rsid w:val="5EE50BC0"/>
    <w:rsid w:val="5F110489"/>
    <w:rsid w:val="62546789"/>
    <w:rsid w:val="62652744"/>
    <w:rsid w:val="6E3F653F"/>
    <w:rsid w:val="6F83245B"/>
    <w:rsid w:val="71C50B09"/>
    <w:rsid w:val="751D2A0A"/>
    <w:rsid w:val="785E5813"/>
    <w:rsid w:val="79450781"/>
    <w:rsid w:val="799A287B"/>
    <w:rsid w:val="79F05B90"/>
    <w:rsid w:val="7E5E4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2025-12-24T02:07:40Z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